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Supplier Code of Conduct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Organization: Acme Inc</w:t>
      </w:r>
    </w:p>
    <w:p>
      <w:r>
        <w:t xml:space="preserve">This Supplier Code of Conduct ("Code") outlines the data protection, security, and compliance requirements that all suppliers, vendors, and third-party service providers ("Suppliers") must adhere to when processing data on behalf of Acme Inc.</w:t>
      </w:r>
    </w:p>
    <w:p>
      <w:pPr>
        <w:pStyle w:val="Heading2"/>
      </w:pPr>
      <w:r>
        <w:t>1. Scope</w:t>
      </w:r>
    </w:p>
    <w:p>
      <w:r>
        <w:t xml:space="preserve">This Code applies to all Suppliers that process, store, transmit, or have access to data managed by Acme Inc. Compliance with this Code is a contractual requirement for all Suppliers.</w:t>
      </w:r>
    </w:p>
    <w:p>
      <w:pPr>
        <w:pStyle w:val="Heading2"/>
      </w:pPr>
      <w:r>
        <w:t>2. Data Protection Requirements</w:t>
      </w:r>
    </w:p>
    <w:p>
      <w:pPr>
        <w:pStyle w:val="Heading3"/>
      </w:pPr>
      <w:r>
        <w:t>2.1 Lawful Processing</w:t>
      </w:r>
    </w:p>
    <w:p>
      <w:r>
        <w:t xml:space="preserve">Suppliers must:</w:t>
      </w:r>
    </w:p>
    <w:p>
      <w:pPr>
        <w:pStyle w:val="ListParagraph"/>
        <w:numPr>
          <w:ilvl w:val="0"/>
          <w:numId w:val="1"/>
        </w:numPr>
      </w:pPr>
      <w:r>
        <w:t xml:space="preserve">Process personal data only as instructed by Acme Inc</w:t>
      </w:r>
    </w:p>
    <w:p>
      <w:pPr>
        <w:pStyle w:val="ListParagraph"/>
        <w:numPr>
          <w:ilvl w:val="0"/>
          <w:numId w:val="1"/>
        </w:numPr>
      </w:pPr>
      <w:r>
        <w:t xml:space="preserve">Maintain a lawful basis for any data processing (GDPR Article 6)</w:t>
      </w:r>
    </w:p>
    <w:p>
      <w:pPr>
        <w:pStyle w:val="ListParagraph"/>
        <w:numPr>
          <w:ilvl w:val="0"/>
          <w:numId w:val="1"/>
        </w:numPr>
      </w:pPr>
      <w:r>
        <w:t xml:space="preserve">Not process personal data for any purpose beyond the scope of the agreement</w:t>
      </w:r>
    </w:p>
    <w:p>
      <w:pPr>
        <w:pStyle w:val="ListParagraph"/>
        <w:numPr>
          <w:ilvl w:val="0"/>
          <w:numId w:val="1"/>
        </w:numPr>
      </w:pPr>
      <w:r>
        <w:t xml:space="preserve">Implement appropriate data minimization practices</w:t>
      </w:r>
    </w:p>
    <w:p>
      <w:pPr>
        <w:pStyle w:val="ListParagraph"/>
        <w:numPr>
          <w:ilvl w:val="0"/>
          <w:numId w:val="1"/>
        </w:numPr>
      </w:pPr>
      <w:r>
        <w:t xml:space="preserve">Maintain accurate records of processing activities (GDPR Article 30)</w:t>
      </w:r>
    </w:p>
    <w:p>
      <w:pPr>
        <w:pStyle w:val="Heading3"/>
      </w:pPr>
      <w:r>
        <w:t>2.2 Data Subject Rights</w:t>
      </w:r>
    </w:p>
    <w:p>
      <w:r>
        <w:t xml:space="preserve">Suppliers must:</w:t>
      </w:r>
    </w:p>
    <w:p>
      <w:pPr>
        <w:pStyle w:val="ListParagraph"/>
        <w:numPr>
          <w:ilvl w:val="0"/>
          <w:numId w:val="1"/>
        </w:numPr>
      </w:pPr>
      <w:r>
        <w:t xml:space="preserve">Assist Acme Inc in responding to Data Subject Access Requests (DSARs)</w:t>
      </w:r>
    </w:p>
    <w:p>
      <w:pPr>
        <w:pStyle w:val="ListParagraph"/>
        <w:numPr>
          <w:ilvl w:val="0"/>
          <w:numId w:val="1"/>
        </w:numPr>
      </w:pPr>
      <w:r>
        <w:t xml:space="preserve">Support the right to rectification, erasure, and data portability</w:t>
      </w:r>
    </w:p>
    <w:p>
      <w:pPr>
        <w:pStyle w:val="ListParagraph"/>
        <w:numPr>
          <w:ilvl w:val="0"/>
          <w:numId w:val="1"/>
        </w:numPr>
      </w:pPr>
      <w:r>
        <w:t xml:space="preserve">Notify Acme Inc within 24 hours of receiving any data subject request directly</w:t>
      </w:r>
    </w:p>
    <w:p>
      <w:pPr>
        <w:pStyle w:val="ListParagraph"/>
        <w:numPr>
          <w:ilvl w:val="0"/>
          <w:numId w:val="1"/>
        </w:numPr>
      </w:pPr>
      <w:r>
        <w:t xml:space="preserve">Not respond to data subject requests without prior authorization from Acme Inc</w:t>
      </w:r>
    </w:p>
    <w:p>
      <w:pPr>
        <w:pStyle w:val="Heading3"/>
      </w:pPr>
      <w:r>
        <w:t>2.3 International Data Transfers</w:t>
      </w:r>
    </w:p>
    <w:p>
      <w:r>
        <w:t xml:space="preserve">Suppliers must:</w:t>
      </w:r>
    </w:p>
    <w:p>
      <w:pPr>
        <w:pStyle w:val="ListParagraph"/>
        <w:numPr>
          <w:ilvl w:val="0"/>
          <w:numId w:val="1"/>
        </w:numPr>
      </w:pPr>
      <w:r>
        <w:t xml:space="preserve">Not transfer personal data outside the EEA without appropriate safeguards</w:t>
      </w:r>
    </w:p>
    <w:p>
      <w:pPr>
        <w:pStyle w:val="ListParagraph"/>
        <w:numPr>
          <w:ilvl w:val="0"/>
          <w:numId w:val="1"/>
        </w:numPr>
      </w:pPr>
      <w:r>
        <w:t xml:space="preserve">Use Standard Contractual Clauses (SCCs) for transfers outside the EEA</w:t>
      </w:r>
    </w:p>
    <w:p>
      <w:pPr>
        <w:pStyle w:val="ListParagraph"/>
        <w:numPr>
          <w:ilvl w:val="0"/>
          <w:numId w:val="1"/>
        </w:numPr>
      </w:pPr>
      <w:r>
        <w:t xml:space="preserve">Conduct Transfer Impact Assessments where required</w:t>
      </w:r>
    </w:p>
    <w:p>
      <w:pPr>
        <w:pStyle w:val="ListParagraph"/>
        <w:numPr>
          <w:ilvl w:val="0"/>
          <w:numId w:val="1"/>
        </w:numPr>
      </w:pPr>
      <w:r>
        <w:t xml:space="preserve">Notify Acme Inc of any change in data processing location</w:t>
      </w:r>
    </w:p>
    <w:p>
      <w:pPr>
        <w:pStyle w:val="Heading2"/>
      </w:pPr>
      <w:r>
        <w:t>3. Security Expectations</w:t>
      </w:r>
    </w:p>
    <w:p>
      <w:pPr>
        <w:pStyle w:val="Heading3"/>
      </w:pPr>
      <w:r>
        <w:t>3.1 Technical Measures</w:t>
      </w:r>
    </w:p>
    <w:p>
      <w:r>
        <w:t xml:space="preserve">Suppliers must implement and maintain:</w:t>
      </w:r>
    </w:p>
    <w:p>
      <w:pPr>
        <w:pStyle w:val="ListParagraph"/>
        <w:numPr>
          <w:ilvl w:val="0"/>
          <w:numId w:val="1"/>
        </w:numPr>
      </w:pPr>
      <w:r>
        <w:t xml:space="preserve">Encryption at rest (AES-256 or equivalent) for all personal data</w:t>
      </w:r>
    </w:p>
    <w:p>
      <w:pPr>
        <w:pStyle w:val="ListParagraph"/>
        <w:numPr>
          <w:ilvl w:val="0"/>
          <w:numId w:val="1"/>
        </w:numPr>
      </w:pPr>
      <w:r>
        <w:t xml:space="preserve">Encryption in transit (TLS 1.2+ minimum)</w:t>
      </w:r>
    </w:p>
    <w:p>
      <w:pPr>
        <w:pStyle w:val="ListParagraph"/>
        <w:numPr>
          <w:ilvl w:val="0"/>
          <w:numId w:val="1"/>
        </w:numPr>
      </w:pPr>
      <w:r>
        <w:t xml:space="preserve">Access controls based on the principle of least privilege</w:t>
      </w:r>
    </w:p>
    <w:p>
      <w:pPr>
        <w:pStyle w:val="ListParagraph"/>
        <w:numPr>
          <w:ilvl w:val="0"/>
          <w:numId w:val="1"/>
        </w:numPr>
      </w:pPr>
      <w:r>
        <w:t xml:space="preserve">Multi-factor authentication for administrative access</w:t>
      </w:r>
    </w:p>
    <w:p>
      <w:pPr>
        <w:pStyle w:val="ListParagraph"/>
        <w:numPr>
          <w:ilvl w:val="0"/>
          <w:numId w:val="1"/>
        </w:numPr>
      </w:pPr>
      <w:r>
        <w:t xml:space="preserve">Regular vulnerability scanning and penetration testing</w:t>
      </w:r>
    </w:p>
    <w:p>
      <w:pPr>
        <w:pStyle w:val="ListParagraph"/>
        <w:numPr>
          <w:ilvl w:val="0"/>
          <w:numId w:val="1"/>
        </w:numPr>
      </w:pPr>
      <w:r>
        <w:t xml:space="preserve">Intrusion detection/prevention systems</w:t>
      </w:r>
    </w:p>
    <w:p>
      <w:pPr>
        <w:pStyle w:val="ListParagraph"/>
        <w:numPr>
          <w:ilvl w:val="0"/>
          <w:numId w:val="1"/>
        </w:numPr>
      </w:pPr>
      <w:r>
        <w:t xml:space="preserve">Secure software development lifecycle (SSDLC) practices</w:t>
      </w:r>
    </w:p>
    <w:p>
      <w:pPr>
        <w:pStyle w:val="Heading3"/>
      </w:pPr>
      <w:r>
        <w:t>3.2 Payment Data Security</w:t>
      </w:r>
    </w:p>
    <w:p>
      <w:r>
        <w:t xml:space="preserve">Suppliers handling payment data must additionally:</w:t>
      </w:r>
    </w:p>
    <w:p>
      <w:pPr>
        <w:pStyle w:val="ListParagraph"/>
        <w:numPr>
          <w:ilvl w:val="0"/>
          <w:numId w:val="1"/>
        </w:numPr>
      </w:pPr>
      <w:r>
        <w:t xml:space="preserve">Maintain PCI DSS compliance (Level 1 or 2 as applicable)</w:t>
      </w:r>
    </w:p>
    <w:p>
      <w:pPr>
        <w:pStyle w:val="ListParagraph"/>
        <w:numPr>
          <w:ilvl w:val="0"/>
          <w:numId w:val="1"/>
        </w:numPr>
      </w:pPr>
      <w:r>
        <w:t xml:space="preserve">Provide a current Attestation of Compliance (AoC)</w:t>
      </w:r>
    </w:p>
    <w:p>
      <w:pPr>
        <w:pStyle w:val="ListParagraph"/>
        <w:numPr>
          <w:ilvl w:val="0"/>
          <w:numId w:val="1"/>
        </w:numPr>
      </w:pPr>
      <w:r>
        <w:t xml:space="preserve">Never store primary account numbers (PANs) in plaintext</w:t>
      </w:r>
    </w:p>
    <w:p>
      <w:pPr>
        <w:pStyle w:val="ListParagraph"/>
        <w:numPr>
          <w:ilvl w:val="0"/>
          <w:numId w:val="1"/>
        </w:numPr>
      </w:pPr>
      <w:r>
        <w:t xml:space="preserve">Implement tokenization for card data where possible</w:t>
      </w:r>
    </w:p>
    <w:p>
      <w:pPr>
        <w:pStyle w:val="Heading3"/>
      </w:pPr>
      <w:r>
        <w:t>3.3 Authentication &amp; Identity Data</w:t>
      </w:r>
    </w:p>
    <w:p>
      <w:r>
        <w:t xml:space="preserve">Suppliers processing authentication or identity data must:</w:t>
      </w:r>
    </w:p>
    <w:p>
      <w:pPr>
        <w:pStyle w:val="ListParagraph"/>
        <w:numPr>
          <w:ilvl w:val="0"/>
          <w:numId w:val="1"/>
        </w:numPr>
      </w:pPr>
      <w:r>
        <w:t xml:space="preserve">Store passwords using industry-standard hashing (bcrypt, Argon2, scrypt)</w:t>
      </w:r>
    </w:p>
    <w:p>
      <w:pPr>
        <w:pStyle w:val="ListParagraph"/>
        <w:numPr>
          <w:ilvl w:val="0"/>
          <w:numId w:val="1"/>
        </w:numPr>
      </w:pPr>
      <w:r>
        <w:t xml:space="preserve">Support secure session management and token rotation</w:t>
      </w:r>
    </w:p>
    <w:p>
      <w:pPr>
        <w:pStyle w:val="ListParagraph"/>
        <w:numPr>
          <w:ilvl w:val="0"/>
          <w:numId w:val="1"/>
        </w:numPr>
      </w:pPr>
      <w:r>
        <w:t xml:space="preserve">Implement account lockout and brute-force protection</w:t>
      </w:r>
    </w:p>
    <w:p>
      <w:pPr>
        <w:pStyle w:val="ListParagraph"/>
        <w:numPr>
          <w:ilvl w:val="0"/>
          <w:numId w:val="1"/>
        </w:numPr>
      </w:pPr>
      <w:r>
        <w:t xml:space="preserve">Notify Acme Inc of any credential compromise within 4 hours</w:t>
      </w:r>
    </w:p>
    <w:p>
      <w:pPr>
        <w:pStyle w:val="Heading3"/>
      </w:pPr>
      <w:r>
        <w:t>AI &amp; Machine Learning Data</w:t>
      </w:r>
    </w:p>
    <w:p>
      <w:r>
        <w:t xml:space="preserve">Suppliers providing AI or machine learning services must:</w:t>
      </w:r>
    </w:p>
    <w:p>
      <w:pPr>
        <w:pStyle w:val="ListParagraph"/>
        <w:numPr>
          <w:ilvl w:val="0"/>
          <w:numId w:val="1"/>
        </w:numPr>
      </w:pPr>
      <w:r>
        <w:t xml:space="preserve">Not use Acme Inc's data to train models without explicit written consent</w:t>
      </w:r>
    </w:p>
    <w:p>
      <w:pPr>
        <w:pStyle w:val="ListParagraph"/>
        <w:numPr>
          <w:ilvl w:val="0"/>
          <w:numId w:val="1"/>
        </w:numPr>
      </w:pPr>
      <w:r>
        <w:t xml:space="preserve">Provide transparency regarding AI model training data sources</w:t>
      </w:r>
    </w:p>
    <w:p>
      <w:pPr>
        <w:pStyle w:val="ListParagraph"/>
        <w:numPr>
          <w:ilvl w:val="0"/>
          <w:numId w:val="1"/>
        </w:numPr>
      </w:pPr>
      <w:r>
        <w:t xml:space="preserve">Implement bias monitoring and fairness assessments</w:t>
      </w:r>
    </w:p>
    <w:p>
      <w:pPr>
        <w:pStyle w:val="ListParagraph"/>
        <w:numPr>
          <w:ilvl w:val="0"/>
          <w:numId w:val="1"/>
        </w:numPr>
      </w:pPr>
      <w:r>
        <w:t xml:space="preserve">Comply with the EU AI Act classification requirements</w:t>
      </w:r>
    </w:p>
    <w:p>
      <w:pPr>
        <w:pStyle w:val="ListParagraph"/>
        <w:numPr>
          <w:ilvl w:val="0"/>
          <w:numId w:val="1"/>
        </w:numPr>
      </w:pPr>
      <w:r>
        <w:t xml:space="preserve">Provide clear documentation of automated decision-making processes</w:t>
      </w:r>
    </w:p>
    <w:p>
      <w:pPr>
        <w:pStyle w:val="Heading3"/>
      </w:pPr>
      <w:r>
        <w:t>Organizational Measures</w:t>
      </w:r>
    </w:p>
    <w:p>
      <w:r>
        <w:t xml:space="preserve">Suppliers must:</w:t>
      </w:r>
    </w:p>
    <w:p>
      <w:pPr>
        <w:pStyle w:val="ListParagraph"/>
        <w:numPr>
          <w:ilvl w:val="0"/>
          <w:numId w:val="1"/>
        </w:numPr>
      </w:pPr>
      <w:r>
        <w:t xml:space="preserve">Conduct annual security awareness training for all staff with data access</w:t>
      </w:r>
    </w:p>
    <w:p>
      <w:pPr>
        <w:pStyle w:val="ListParagraph"/>
        <w:numPr>
          <w:ilvl w:val="0"/>
          <w:numId w:val="1"/>
        </w:numPr>
      </w:pPr>
      <w:r>
        <w:t xml:space="preserve">Maintain a documented information security policy (ISO 27001 aligned)</w:t>
      </w:r>
    </w:p>
    <w:p>
      <w:pPr>
        <w:pStyle w:val="ListParagraph"/>
        <w:numPr>
          <w:ilvl w:val="0"/>
          <w:numId w:val="1"/>
        </w:numPr>
      </w:pPr>
      <w:r>
        <w:t xml:space="preserve">Perform background checks on personnel with access to personal data</w:t>
      </w:r>
    </w:p>
    <w:p>
      <w:pPr>
        <w:pStyle w:val="ListParagraph"/>
        <w:numPr>
          <w:ilvl w:val="0"/>
          <w:numId w:val="1"/>
        </w:numPr>
      </w:pPr>
      <w:r>
        <w:t xml:space="preserve">Maintain a documented incident response plan</w:t>
      </w:r>
    </w:p>
    <w:p>
      <w:pPr>
        <w:pStyle w:val="ListParagraph"/>
        <w:numPr>
          <w:ilvl w:val="0"/>
          <w:numId w:val="1"/>
        </w:numPr>
      </w:pPr>
      <w:r>
        <w:t xml:space="preserve">Carry adequate cyber insurance coverage</w:t>
      </w:r>
    </w:p>
    <w:p>
      <w:pPr>
        <w:pStyle w:val="Heading2"/>
      </w:pPr>
      <w:r>
        <w:t>4. Incident Response &amp; Breach Notification</w:t>
      </w:r>
    </w:p>
    <w:p>
      <w:r>
        <w:t xml:space="preserve">Suppliers must:</w:t>
      </w:r>
    </w:p>
    <w:p>
      <w:pPr>
        <w:pStyle w:val="ListParagraph"/>
        <w:numPr>
          <w:ilvl w:val="0"/>
          <w:numId w:val="1"/>
        </w:numPr>
      </w:pPr>
      <w:r>
        <w:t xml:space="preserve">Notify Acme Inc of any security incident within **72 hours** of discovery</w:t>
      </w:r>
    </w:p>
    <w:p>
      <w:pPr>
        <w:pStyle w:val="ListParagraph"/>
        <w:numPr>
          <w:ilvl w:val="0"/>
          <w:numId w:val="1"/>
        </w:numPr>
      </w:pPr>
      <w:r>
        <w:t xml:space="preserve">Notify Acme Inc of any confirmed personal data breach within **24 hours**</w:t>
      </w:r>
    </w:p>
    <w:p>
      <w:pPr>
        <w:pStyle w:val="ListParagraph"/>
        <w:numPr>
          <w:ilvl w:val="0"/>
          <w:numId w:val="1"/>
        </w:numPr>
      </w:pPr>
      <w:r>
        <w:t xml:space="preserve">Provide a detailed incident report including:</w:t>
      </w:r>
    </w:p>
    <w:p>
      <w:r>
        <w:t xml:space="preserve">  - Nature and scope of the incident</w:t>
      </w:r>
    </w:p>
    <w:p>
      <w:r>
        <w:t xml:space="preserve">  - Categories and approximate number of affected data subjects</w:t>
      </w:r>
    </w:p>
    <w:p>
      <w:r>
        <w:t xml:space="preserve">  - Categories and approximate number of affected records</w:t>
      </w:r>
    </w:p>
    <w:p>
      <w:r>
        <w:t xml:space="preserve">  - Measures taken or proposed to mitigate the incident</w:t>
      </w:r>
    </w:p>
    <w:p>
      <w:r>
        <w:t xml:space="preserve">  - Root cause analysis and remediation timeline</w:t>
      </w:r>
    </w:p>
    <w:p>
      <w:pPr>
        <w:pStyle w:val="ListParagraph"/>
        <w:numPr>
          <w:ilvl w:val="0"/>
          <w:numId w:val="1"/>
        </w:numPr>
      </w:pPr>
      <w:r>
        <w:t xml:space="preserve">Cooperate fully with Acme Inc's incident investigation</w:t>
      </w:r>
    </w:p>
    <w:p>
      <w:pPr>
        <w:pStyle w:val="ListParagraph"/>
        <w:numPr>
          <w:ilvl w:val="0"/>
          <w:numId w:val="1"/>
        </w:numPr>
      </w:pPr>
      <w:r>
        <w:t xml:space="preserve">Preserve all relevant logs and evidence for at least 12 months</w:t>
      </w:r>
    </w:p>
    <w:p>
      <w:r>
        <w:t xml:space="preserve">Incident notifications should be sent to: dpo@acme-saas.com</w:t>
      </w:r>
    </w:p>
    <w:p>
      <w:pPr>
        <w:pStyle w:val="Heading2"/>
      </w:pPr>
      <w:r>
        <w:t>5. Audit Rights</w:t>
      </w:r>
    </w:p>
    <w:p>
      <w:r>
        <w:t xml:space="preserve">Acme Inc reserves the right to:</w:t>
      </w:r>
    </w:p>
    <w:p>
      <w:pPr>
        <w:pStyle w:val="ListParagraph"/>
        <w:numPr>
          <w:ilvl w:val="0"/>
          <w:numId w:val="1"/>
        </w:numPr>
      </w:pPr>
      <w:r>
        <w:t xml:space="preserve">Conduct audits of Supplier's data processing activities with 30 days' written notice</w:t>
      </w:r>
    </w:p>
    <w:p>
      <w:pPr>
        <w:pStyle w:val="ListParagraph"/>
        <w:numPr>
          <w:ilvl w:val="0"/>
          <w:numId w:val="1"/>
        </w:numPr>
      </w:pPr>
      <w:r>
        <w:t xml:space="preserve">Request and review Supplier's security certifications (SOC 2, ISO 27001, etc.)</w:t>
      </w:r>
    </w:p>
    <w:p>
      <w:pPr>
        <w:pStyle w:val="ListParagraph"/>
        <w:numPr>
          <w:ilvl w:val="0"/>
          <w:numId w:val="1"/>
        </w:numPr>
      </w:pPr>
      <w:r>
        <w:t xml:space="preserve">Require Supplier to complete annual security questionnaires</w:t>
      </w:r>
    </w:p>
    <w:p>
      <w:pPr>
        <w:pStyle w:val="ListParagraph"/>
        <w:numPr>
          <w:ilvl w:val="0"/>
          <w:numId w:val="1"/>
        </w:numPr>
      </w:pPr>
      <w:r>
        <w:t xml:space="preserve">Engage independent third-party auditors at Acme Inc's expense</w:t>
      </w:r>
    </w:p>
    <w:p>
      <w:pPr>
        <w:pStyle w:val="ListParagraph"/>
        <w:numPr>
          <w:ilvl w:val="0"/>
          <w:numId w:val="1"/>
        </w:numPr>
      </w:pPr>
      <w:r>
        <w:t xml:space="preserve">Access relevant logs and records pertaining to data processing activities</w:t>
      </w:r>
    </w:p>
    <w:p>
      <w:pPr>
        <w:pStyle w:val="ListParagraph"/>
        <w:numPr>
          <w:ilvl w:val="0"/>
          <w:numId w:val="1"/>
        </w:numPr>
      </w:pPr>
      <w:r>
        <w:t xml:space="preserve">Conduct unannounced audits in the event of a suspected breach or non-compliance</w:t>
      </w:r>
    </w:p>
    <w:p>
      <w:r>
        <w:t xml:space="preserve">Suppliers must:</w:t>
      </w:r>
    </w:p>
    <w:p>
      <w:pPr>
        <w:pStyle w:val="ListParagraph"/>
        <w:numPr>
          <w:ilvl w:val="0"/>
          <w:numId w:val="1"/>
        </w:numPr>
      </w:pPr>
      <w:r>
        <w:t xml:space="preserve">Cooperate fully with any audit requests</w:t>
      </w:r>
    </w:p>
    <w:p>
      <w:pPr>
        <w:pStyle w:val="ListParagraph"/>
        <w:numPr>
          <w:ilvl w:val="0"/>
          <w:numId w:val="1"/>
        </w:numPr>
      </w:pPr>
      <w:r>
        <w:t xml:space="preserve">Maintain comprehensive audit logs for a minimum of 12 months</w:t>
      </w:r>
    </w:p>
    <w:p>
      <w:pPr>
        <w:pStyle w:val="ListParagraph"/>
        <w:numPr>
          <w:ilvl w:val="0"/>
          <w:numId w:val="1"/>
        </w:numPr>
      </w:pPr>
      <w:r>
        <w:t xml:space="preserve">Provide copies of relevant certifications upon request</w:t>
      </w:r>
    </w:p>
    <w:p>
      <w:pPr>
        <w:pStyle w:val="ListParagraph"/>
        <w:numPr>
          <w:ilvl w:val="0"/>
          <w:numId w:val="1"/>
        </w:numPr>
      </w:pPr>
      <w:r>
        <w:t xml:space="preserve">Remediate any audit findings within the agreed timeline</w:t>
      </w:r>
    </w:p>
    <w:p>
      <w:pPr>
        <w:pStyle w:val="ListParagraph"/>
        <w:numPr>
          <w:ilvl w:val="0"/>
          <w:numId w:val="1"/>
        </w:numPr>
      </w:pPr>
      <w:r>
        <w:t xml:space="preserve">Notify Acme Inc if any certification lapses or is revoked</w:t>
      </w:r>
    </w:p>
    <w:p>
      <w:pPr>
        <w:pStyle w:val="Heading2"/>
      </w:pPr>
      <w:r>
        <w:t>6. Sub-Processor Requirements</w:t>
      </w:r>
    </w:p>
    <w:p>
      <w:r>
        <w:t xml:space="preserve">Suppliers must not engage sub-processors without prior written authorization from Acme Inc. The following requirements apply to all sub-processor engagements:</w:t>
      </w:r>
    </w:p>
    <w:p>
      <w:pPr>
        <w:pStyle w:val="ListParagraph"/>
        <w:numPr>
          <w:ilvl w:val="0"/>
          <w:numId w:val="1"/>
        </w:numPr>
      </w:pPr>
      <w:r>
        <w:t xml:space="preserve">Obtain prior written approval before engaging any new sub-processor</w:t>
      </w:r>
    </w:p>
    <w:p>
      <w:pPr>
        <w:pStyle w:val="ListParagraph"/>
        <w:numPr>
          <w:ilvl w:val="0"/>
          <w:numId w:val="1"/>
        </w:numPr>
      </w:pPr>
      <w:r>
        <w:t xml:space="preserve">Notify Acme Inc at least 30 days before adding or replacing a sub-processor</w:t>
      </w:r>
    </w:p>
    <w:p>
      <w:pPr>
        <w:pStyle w:val="ListParagraph"/>
        <w:numPr>
          <w:ilvl w:val="0"/>
          <w:numId w:val="1"/>
        </w:numPr>
      </w:pPr>
      <w:r>
        <w:t xml:space="preserve">Impose contractual obligations on sub-processors that are no less protective than this Code</w:t>
      </w:r>
    </w:p>
    <w:p>
      <w:pPr>
        <w:pStyle w:val="ListParagraph"/>
        <w:numPr>
          <w:ilvl w:val="0"/>
          <w:numId w:val="1"/>
        </w:numPr>
      </w:pPr>
      <w:r>
        <w:t xml:space="preserve">Remain fully liable for the acts and omissions of sub-processors</w:t>
      </w:r>
    </w:p>
    <w:p>
      <w:pPr>
        <w:pStyle w:val="ListParagraph"/>
        <w:numPr>
          <w:ilvl w:val="0"/>
          <w:numId w:val="1"/>
        </w:numPr>
      </w:pPr>
      <w:r>
        <w:t xml:space="preserve">Maintain a current register of all sub-processors</w:t>
      </w:r>
    </w:p>
    <w:p>
      <w:pPr>
        <w:pStyle w:val="Heading3"/>
      </w:pPr>
      <w:r>
        <w:t>6.1 Currently Detected Sub-Processors</w:t>
      </w:r>
    </w:p>
    <w:p>
      <w:r>
        <w:t xml:space="preserve">The following third-party services have been identified in the codebase and may function as sub-processors:</w:t>
      </w:r>
    </w:p>
    <w:p>
      <w:r>
        <w:rPr>
          <w:sz w:val="20"/>
        </w:rPr>
        <w:t xml:space="preserve">Sub-Processor  |  Category  |  Data Processed</w:t>
      </w:r>
    </w:p>
    <w:p>
      <w:r>
        <w:rPr>
          <w:sz w:val="20"/>
        </w:rPr>
        <w:t xml:space="preserve">@sentry/node  |  monitoring  |  error data, stack traces, user context, device information, IP address</w:t>
      </w:r>
    </w:p>
    <w:p>
      <w:r>
        <w:rPr>
          <w:sz w:val="20"/>
        </w:rPr>
        <w:t xml:space="preserve">@supabase/supabase-js  |  auth  |  email, password hash, session data, user metadata</w:t>
      </w:r>
    </w:p>
    <w:p>
      <w:r>
        <w:rPr>
          <w:sz w:val="20"/>
        </w:rPr>
        <w:t xml:space="preserve">openai  |  ai  |  user prompts, conversation history, generated content</w:t>
      </w:r>
    </w:p>
    <w:p>
      <w:r>
        <w:rPr>
          <w:sz w:val="20"/>
        </w:rPr>
        <w:t xml:space="preserve">posthog  |  analytics  |  user behavior, session recordings, feature flag usage, device information</w:t>
      </w:r>
    </w:p>
    <w:p>
      <w:r>
        <w:rPr>
          <w:sz w:val="20"/>
        </w:rPr>
        <w:t xml:space="preserve">resend  |  email  |  email addresses, email content</w:t>
      </w:r>
    </w:p>
    <w:p>
      <w:r>
        <w:rPr>
          <w:sz w:val="20"/>
        </w:rPr>
        <w:t xml:space="preserve">stripe  |  payment  |  payment information, billing address, email, transaction history</w:t>
      </w:r>
    </w:p>
    <w:p>
      <w:r>
        <w:rPr>
          <w:sz w:val="20"/>
        </w:rPr>
        <w:t xml:space="preserve">stripe-ios  |  payment  |  payment information, billing address, email, transaction history</w:t>
      </w:r>
    </w:p>
    <w:p>
      <w:r>
        <w:t xml:space="preserve">Each sub-processor listed above must have a valid Data Processing Agreement (DPA) in place before processing begins.</w:t>
      </w:r>
    </w:p>
    <w:p>
      <w:pPr>
        <w:pStyle w:val="Heading2"/>
      </w:pPr>
      <w:r>
        <w:t>7. Business Continuity &amp; Data Return</w:t>
      </w:r>
    </w:p>
    <w:p>
      <w:r>
        <w:t xml:space="preserve">Suppliers must:</w:t>
      </w:r>
    </w:p>
    <w:p>
      <w:pPr>
        <w:pStyle w:val="ListParagraph"/>
        <w:numPr>
          <w:ilvl w:val="0"/>
          <w:numId w:val="1"/>
        </w:numPr>
      </w:pPr>
      <w:r>
        <w:t xml:space="preserve">Maintain documented business continuity and disaster recovery plans</w:t>
      </w:r>
    </w:p>
    <w:p>
      <w:pPr>
        <w:pStyle w:val="ListParagraph"/>
        <w:numPr>
          <w:ilvl w:val="0"/>
          <w:numId w:val="1"/>
        </w:numPr>
      </w:pPr>
      <w:r>
        <w:t xml:space="preserve">Test disaster recovery procedures at least annually</w:t>
      </w:r>
    </w:p>
    <w:p>
      <w:pPr>
        <w:pStyle w:val="ListParagraph"/>
        <w:numPr>
          <w:ilvl w:val="0"/>
          <w:numId w:val="1"/>
        </w:numPr>
      </w:pPr>
      <w:r>
        <w:t xml:space="preserve">Upon termination of the agreement, return or securely delete all Acme Inc data within 30 days</w:t>
      </w:r>
    </w:p>
    <w:p>
      <w:pPr>
        <w:pStyle w:val="ListParagraph"/>
        <w:numPr>
          <w:ilvl w:val="0"/>
          <w:numId w:val="1"/>
        </w:numPr>
      </w:pPr>
      <w:r>
        <w:t xml:space="preserve">Provide written certification of data deletion upon request</w:t>
      </w:r>
    </w:p>
    <w:p>
      <w:pPr>
        <w:pStyle w:val="ListParagraph"/>
        <w:numPr>
          <w:ilvl w:val="0"/>
          <w:numId w:val="1"/>
        </w:numPr>
      </w:pPr>
      <w:r>
        <w:t xml:space="preserve">Support data migration to alternative providers if requested</w:t>
      </w:r>
    </w:p>
    <w:p>
      <w:pPr>
        <w:pStyle w:val="Heading2"/>
      </w:pPr>
      <w:r>
        <w:t>8. Compliance Monitoring &amp; Enforcement</w:t>
      </w:r>
    </w:p>
    <w:p>
      <w:r>
        <w:t xml:space="preserve">Acme Inc will monitor Supplier compliance through:</w:t>
      </w:r>
    </w:p>
    <w:p>
      <w:pPr>
        <w:pStyle w:val="ListParagraph"/>
        <w:numPr>
          <w:ilvl w:val="0"/>
          <w:numId w:val="1"/>
        </w:numPr>
      </w:pPr>
      <w:r>
        <w:t xml:space="preserve">Annual security questionnaires</w:t>
      </w:r>
    </w:p>
    <w:p>
      <w:pPr>
        <w:pStyle w:val="ListParagraph"/>
        <w:numPr>
          <w:ilvl w:val="0"/>
          <w:numId w:val="1"/>
        </w:numPr>
      </w:pPr>
      <w:r>
        <w:t xml:space="preserve">Periodic audit exercises</w:t>
      </w:r>
    </w:p>
    <w:p>
      <w:pPr>
        <w:pStyle w:val="ListParagraph"/>
        <w:numPr>
          <w:ilvl w:val="0"/>
          <w:numId w:val="1"/>
        </w:numPr>
      </w:pPr>
      <w:r>
        <w:t xml:space="preserve">Review of certifications and attestations</w:t>
      </w:r>
    </w:p>
    <w:p>
      <w:pPr>
        <w:pStyle w:val="ListParagraph"/>
        <w:numPr>
          <w:ilvl w:val="0"/>
          <w:numId w:val="1"/>
        </w:numPr>
      </w:pPr>
      <w:r>
        <w:t xml:space="preserve">Continuous monitoring of incident reports</w:t>
      </w:r>
    </w:p>
    <w:p>
      <w:r>
        <w:t xml:space="preserve">Non-compliance with this Code may result in:</w:t>
      </w:r>
    </w:p>
    <w:p>
      <w:pPr>
        <w:pStyle w:val="ListParagraph"/>
        <w:numPr>
          <w:ilvl w:val="0"/>
          <w:numId w:val="1"/>
        </w:numPr>
      </w:pPr>
      <w:r>
        <w:t xml:space="preserve">Requirement for immediate remediation</w:t>
      </w:r>
    </w:p>
    <w:p>
      <w:pPr>
        <w:pStyle w:val="ListParagraph"/>
        <w:numPr>
          <w:ilvl w:val="0"/>
          <w:numId w:val="1"/>
        </w:numPr>
      </w:pPr>
      <w:r>
        <w:t xml:space="preserve">Suspension of data processing activities</w:t>
      </w:r>
    </w:p>
    <w:p>
      <w:pPr>
        <w:pStyle w:val="ListParagraph"/>
        <w:numPr>
          <w:ilvl w:val="0"/>
          <w:numId w:val="1"/>
        </w:numPr>
      </w:pPr>
      <w:r>
        <w:t xml:space="preserve">Termination of the supplier agreement</w:t>
      </w:r>
    </w:p>
    <w:p>
      <w:pPr>
        <w:pStyle w:val="ListParagraph"/>
        <w:numPr>
          <w:ilvl w:val="0"/>
          <w:numId w:val="1"/>
        </w:numPr>
      </w:pPr>
      <w:r>
        <w:t xml:space="preserve">Reporting to relevant supervisory authorities where required by law</w:t>
      </w:r>
    </w:p>
    <w:p>
      <w:pPr>
        <w:pStyle w:val="Heading2"/>
      </w:pPr>
      <w:r>
        <w:t>9. Contact</w:t>
      </w:r>
    </w:p>
    <w:p>
      <w:r>
        <w:t xml:space="preserve">For questions regarding this Code, contact:</w:t>
      </w:r>
    </w:p>
    <w:p>
      <w:pPr>
        <w:pStyle w:val="ListParagraph"/>
        <w:numPr>
          <w:ilvl w:val="0"/>
          <w:numId w:val="1"/>
        </w:numPr>
      </w:pPr>
      <w:r>
        <w:t xml:space="preserve">**Data Protection:** dpo@acme-saas.com</w:t>
      </w:r>
    </w:p>
    <w:p>
      <w:pPr>
        <w:pStyle w:val="ListParagraph"/>
        <w:numPr>
          <w:ilvl w:val="0"/>
          <w:numId w:val="1"/>
        </w:numPr>
      </w:pPr>
      <w:r>
        <w:t xml:space="preserve">**General Inquiries:** legal@acme.com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Data Processing Agreement (`DATA_PROCESSING_AGREEMENT.md`)</w:t>
      </w:r>
    </w:p>
    <w:p>
      <w:pPr>
        <w:pStyle w:val="ListParagraph"/>
        <w:numPr>
          <w:ilvl w:val="0"/>
          <w:numId w:val="1"/>
        </w:numPr>
      </w:pPr>
      <w:r>
        <w:t xml:space="preserve">Vendor Security Questionnaire (`VENDOR_SECURITY_QUESTIONNAIRE.md`)</w:t>
      </w:r>
    </w:p>
    <w:p>
      <w:pPr>
        <w:pBdr>
          <w:bottom w:val="single" w:sz="6" w:space="1" w:color="999999"/>
        </w:pBdr>
      </w:pPr>
    </w:p>
    <w:p>
      <w:r>
        <w:t xml:space="preserve">This document was auto-generated by [Codepliant](https://github.com/joechensmartz/codepliant) based on detected third-party services. It should be reviewed by legal counsel before use. This document does not constitute legal advice.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